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428F4" w14:textId="44644B95" w:rsidR="00054229" w:rsidRDefault="00054229" w:rsidP="00054229">
      <w:pPr>
        <w:tabs>
          <w:tab w:val="right" w:pos="9630"/>
        </w:tabs>
        <w:spacing w:after="0"/>
        <w:rPr>
          <w:color w:val="000000"/>
          <w:lang w:val="en-US"/>
        </w:rPr>
      </w:pPr>
      <w:bookmarkStart w:id="0" w:name="_Hlk525903026"/>
      <w:bookmarkStart w:id="1" w:name="_Hlk533328020"/>
      <w:r w:rsidRPr="008E6327">
        <w:rPr>
          <w:rFonts w:cs="Arial"/>
          <w:b/>
          <w:color w:val="000000"/>
          <w:sz w:val="24"/>
        </w:rPr>
        <w:t xml:space="preserve">3GPP TSG RAN WG1 Meeting </w:t>
      </w:r>
      <w:r>
        <w:rPr>
          <w:rFonts w:cs="Arial"/>
          <w:b/>
          <w:color w:val="000000"/>
          <w:sz w:val="24"/>
        </w:rPr>
        <w:t>#</w:t>
      </w:r>
      <w:r w:rsidR="008C47AA">
        <w:rPr>
          <w:rFonts w:cs="Arial"/>
          <w:b/>
          <w:color w:val="000000"/>
          <w:sz w:val="24"/>
        </w:rPr>
        <w:t>9</w:t>
      </w:r>
      <w:r w:rsidR="00D80695">
        <w:rPr>
          <w:rFonts w:cs="Arial"/>
          <w:b/>
          <w:color w:val="000000"/>
          <w:sz w:val="24"/>
        </w:rPr>
        <w:t>8</w:t>
      </w:r>
      <w:r>
        <w:rPr>
          <w:rFonts w:cs="Arial"/>
          <w:b/>
          <w:color w:val="000000"/>
          <w:sz w:val="24"/>
        </w:rPr>
        <w:tab/>
      </w:r>
      <w:r w:rsidR="008F10FD" w:rsidRPr="008F10FD">
        <w:rPr>
          <w:rFonts w:cs="Arial"/>
          <w:b/>
          <w:color w:val="000000"/>
          <w:sz w:val="24"/>
        </w:rPr>
        <w:t>R1-1909253</w:t>
      </w:r>
      <w:bookmarkStart w:id="2" w:name="_GoBack"/>
      <w:bookmarkEnd w:id="2"/>
    </w:p>
    <w:p w14:paraId="4AA4086F" w14:textId="3841E619" w:rsidR="00054229" w:rsidRDefault="00D80695" w:rsidP="00054229">
      <w:pPr>
        <w:rPr>
          <w:rFonts w:cs="Arial"/>
          <w:b/>
          <w:sz w:val="24"/>
          <w:szCs w:val="24"/>
        </w:rPr>
      </w:pPr>
      <w:r>
        <w:rPr>
          <w:rFonts w:cs="Arial"/>
          <w:b/>
          <w:sz w:val="24"/>
          <w:szCs w:val="24"/>
        </w:rPr>
        <w:t>Prague, CZ,</w:t>
      </w:r>
      <w:r w:rsidR="00054229">
        <w:rPr>
          <w:rFonts w:cs="Arial"/>
          <w:b/>
          <w:sz w:val="24"/>
          <w:szCs w:val="24"/>
        </w:rPr>
        <w:t xml:space="preserve"> </w:t>
      </w:r>
      <w:r>
        <w:rPr>
          <w:rFonts w:cs="Arial"/>
          <w:b/>
          <w:sz w:val="24"/>
          <w:szCs w:val="24"/>
        </w:rPr>
        <w:t>August 26</w:t>
      </w:r>
      <w:r w:rsidRPr="00D80695">
        <w:rPr>
          <w:rFonts w:cs="Arial"/>
          <w:b/>
          <w:sz w:val="24"/>
          <w:szCs w:val="24"/>
          <w:vertAlign w:val="superscript"/>
        </w:rPr>
        <w:t>th</w:t>
      </w:r>
      <w:r>
        <w:rPr>
          <w:rFonts w:cs="Arial"/>
          <w:b/>
          <w:sz w:val="24"/>
          <w:szCs w:val="24"/>
        </w:rPr>
        <w:t xml:space="preserve"> – 30</w:t>
      </w:r>
      <w:r w:rsidRPr="00D80695">
        <w:rPr>
          <w:rFonts w:cs="Arial"/>
          <w:b/>
          <w:sz w:val="24"/>
          <w:szCs w:val="24"/>
          <w:vertAlign w:val="superscript"/>
        </w:rPr>
        <w:t>th</w:t>
      </w:r>
      <w:r>
        <w:rPr>
          <w:rFonts w:cs="Arial"/>
          <w:b/>
          <w:sz w:val="24"/>
          <w:szCs w:val="24"/>
        </w:rPr>
        <w:t xml:space="preserve"> </w:t>
      </w:r>
      <w:r w:rsidR="00054229" w:rsidRPr="008E6327">
        <w:rPr>
          <w:rFonts w:cs="Arial"/>
          <w:b/>
          <w:sz w:val="24"/>
          <w:szCs w:val="24"/>
        </w:rPr>
        <w:t>2019</w:t>
      </w:r>
    </w:p>
    <w:bookmarkEnd w:id="0"/>
    <w:p w14:paraId="11E46477"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01EEF06B" w14:textId="348FF27F" w:rsidR="00054229" w:rsidRDefault="00054229" w:rsidP="00054229">
      <w:pPr>
        <w:tabs>
          <w:tab w:val="left" w:pos="1985"/>
        </w:tabs>
        <w:rPr>
          <w:color w:val="000000"/>
          <w:sz w:val="24"/>
          <w:lang w:val="en-US"/>
        </w:rPr>
      </w:pPr>
      <w:r>
        <w:rPr>
          <w:b/>
          <w:color w:val="000000"/>
          <w:sz w:val="24"/>
        </w:rPr>
        <w:t>Agenda item:</w:t>
      </w:r>
      <w:bookmarkStart w:id="3" w:name="Source"/>
      <w:bookmarkEnd w:id="3"/>
      <w:r>
        <w:rPr>
          <w:color w:val="000000"/>
          <w:sz w:val="24"/>
        </w:rPr>
        <w:tab/>
      </w:r>
      <w:r w:rsidRPr="00BD28BD">
        <w:rPr>
          <w:color w:val="000000"/>
          <w:sz w:val="24"/>
        </w:rPr>
        <w:t>7.2.4.</w:t>
      </w:r>
      <w:r w:rsidR="00AC6097">
        <w:rPr>
          <w:color w:val="000000"/>
          <w:sz w:val="24"/>
        </w:rPr>
        <w:t>2.1</w:t>
      </w:r>
    </w:p>
    <w:p w14:paraId="4689DB6A"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31B3413C" w14:textId="3CDFFF54" w:rsidR="00054229" w:rsidRPr="00ED7BF7" w:rsidRDefault="00054229" w:rsidP="00054229">
      <w:pPr>
        <w:ind w:left="1988" w:hanging="1988"/>
        <w:rPr>
          <w:sz w:val="28"/>
          <w:szCs w:val="24"/>
        </w:rPr>
      </w:pPr>
      <w:r>
        <w:rPr>
          <w:b/>
          <w:sz w:val="24"/>
        </w:rPr>
        <w:t>Title:</w:t>
      </w:r>
      <w:r>
        <w:rPr>
          <w:sz w:val="24"/>
        </w:rPr>
        <w:t xml:space="preserve"> </w:t>
      </w:r>
      <w:r>
        <w:rPr>
          <w:sz w:val="22"/>
        </w:rPr>
        <w:tab/>
      </w:r>
      <w:r w:rsidR="00AC6097" w:rsidRPr="00AC6097">
        <w:rPr>
          <w:sz w:val="22"/>
        </w:rPr>
        <w:t>Mode 1 Resource allocation for NR-V2X</w:t>
      </w:r>
    </w:p>
    <w:p w14:paraId="44DA6F77" w14:textId="77777777" w:rsidR="00054229" w:rsidRDefault="00054229" w:rsidP="00054229">
      <w:pPr>
        <w:tabs>
          <w:tab w:val="left" w:pos="1985"/>
        </w:tabs>
        <w:ind w:right="-441"/>
        <w:rPr>
          <w:sz w:val="24"/>
        </w:rPr>
      </w:pPr>
      <w:r>
        <w:rPr>
          <w:b/>
          <w:sz w:val="24"/>
        </w:rPr>
        <w:t>Document for:</w:t>
      </w:r>
      <w:r>
        <w:rPr>
          <w:sz w:val="24"/>
        </w:rPr>
        <w:tab/>
        <w:t>Discussion and Decision</w:t>
      </w:r>
    </w:p>
    <w:p w14:paraId="0AF30BD0" w14:textId="77777777" w:rsidR="00054229" w:rsidRPr="00B93BAD" w:rsidRDefault="00054229" w:rsidP="00054229">
      <w:pPr>
        <w:pStyle w:val="Heading1"/>
        <w:rPr>
          <w:rFonts w:ascii="Times New Roman" w:hAnsi="Times New Roman" w:cs="Times New Roman"/>
        </w:rPr>
      </w:pPr>
      <w:bookmarkStart w:id="4" w:name="_Ref488331639"/>
      <w:bookmarkEnd w:id="1"/>
      <w:r w:rsidRPr="00B93BAD">
        <w:rPr>
          <w:rFonts w:ascii="Times New Roman" w:hAnsi="Times New Roman" w:cs="Times New Roman"/>
        </w:rPr>
        <w:t>Introduction</w:t>
      </w:r>
      <w:bookmarkEnd w:id="4"/>
    </w:p>
    <w:p w14:paraId="10402F7E" w14:textId="128F3207" w:rsidR="00F452D4" w:rsidRDefault="00F452D4" w:rsidP="00054229">
      <w:pPr>
        <w:rPr>
          <w:rFonts w:ascii="Times New Roman" w:hAnsi="Times New Roman"/>
        </w:rPr>
      </w:pPr>
      <w:r>
        <w:rPr>
          <w:rFonts w:ascii="Times New Roman" w:hAnsi="Times New Roman"/>
        </w:rPr>
        <w:t>In RAN1 #96Bis following agreements were made with respect to Mode 1 resource allocation</w:t>
      </w:r>
      <w:r w:rsidR="00EA301C">
        <w:rPr>
          <w:rFonts w:ascii="Times New Roman" w:hAnsi="Times New Roman"/>
        </w:rPr>
        <w:t xml:space="preserve"> [1]</w:t>
      </w:r>
      <w:r>
        <w:rPr>
          <w:rFonts w:ascii="Times New Roman" w:hAnsi="Times New Roman"/>
        </w:rPr>
        <w:t>:</w:t>
      </w:r>
    </w:p>
    <w:tbl>
      <w:tblPr>
        <w:tblStyle w:val="TableGrid"/>
        <w:tblW w:w="0" w:type="auto"/>
        <w:tblLook w:val="04A0" w:firstRow="1" w:lastRow="0" w:firstColumn="1" w:lastColumn="0" w:noHBand="0" w:noVBand="1"/>
      </w:tblPr>
      <w:tblGrid>
        <w:gridCol w:w="9629"/>
      </w:tblGrid>
      <w:tr w:rsidR="00F452D4" w14:paraId="48F41F7F" w14:textId="77777777" w:rsidTr="00F452D4">
        <w:tc>
          <w:tcPr>
            <w:tcW w:w="9629" w:type="dxa"/>
          </w:tcPr>
          <w:p w14:paraId="60F1E359" w14:textId="77777777" w:rsidR="00F452D4" w:rsidRPr="00F767AB" w:rsidRDefault="00F452D4" w:rsidP="00F452D4">
            <w:r w:rsidRPr="00F767AB">
              <w:rPr>
                <w:highlight w:val="green"/>
              </w:rPr>
              <w:t>Agreements</w:t>
            </w:r>
            <w:r w:rsidRPr="00F767AB">
              <w:t>:</w:t>
            </w:r>
          </w:p>
          <w:p w14:paraId="3AABB555"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dynamic grant provides resources for one or multiple sidelink transmissions of a single TB.</w:t>
            </w:r>
          </w:p>
          <w:p w14:paraId="68585C36"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configured grant (type-1, type-2) provides a set of resources in a periodic manner for multiple sidelink transmissions.</w:t>
            </w:r>
          </w:p>
          <w:p w14:paraId="20D677C2"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UE decides which TB to transmit in each of the occasions indicated by a given configured grant.</w:t>
            </w:r>
          </w:p>
          <w:p w14:paraId="5EBD15C8"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FFS: whether different transmissions of a TB can take place across multiple configured grants.</w:t>
            </w:r>
          </w:p>
          <w:p w14:paraId="364D2794" w14:textId="16F97E5D" w:rsidR="00F452D4" w:rsidRDefault="00F452D4" w:rsidP="00F452D4">
            <w:pPr>
              <w:rPr>
                <w:rFonts w:ascii="Times New Roman" w:hAnsi="Times New Roman"/>
              </w:rPr>
            </w:pPr>
            <w:r w:rsidRPr="00F767AB">
              <w:rPr>
                <w:lang w:eastAsia="ja-JP"/>
              </w:rPr>
              <w:t>Other restrictions on what can be transmitted in a given configured grant (e.g., based on QoS, destination UE, etc.) are up to RAN2.</w:t>
            </w:r>
          </w:p>
        </w:tc>
      </w:tr>
    </w:tbl>
    <w:p w14:paraId="5A9D5E3E" w14:textId="4C470CA4" w:rsidR="00F452D4" w:rsidRDefault="00F452D4" w:rsidP="00054229">
      <w:pPr>
        <w:rPr>
          <w:rFonts w:ascii="Times New Roman" w:hAnsi="Times New Roman"/>
        </w:rPr>
      </w:pPr>
    </w:p>
    <w:p w14:paraId="5CBCBE07" w14:textId="0DF81ED7" w:rsidR="00D80695" w:rsidRDefault="00D80695" w:rsidP="00054229">
      <w:pPr>
        <w:rPr>
          <w:rFonts w:ascii="Times New Roman" w:hAnsi="Times New Roman"/>
        </w:rPr>
      </w:pPr>
      <w:r>
        <w:rPr>
          <w:rFonts w:ascii="Times New Roman" w:hAnsi="Times New Roman"/>
        </w:rPr>
        <w:t>In RAN1 #98 following agreements were made [</w:t>
      </w:r>
      <w:r w:rsidR="00310009">
        <w:rPr>
          <w:rFonts w:ascii="Times New Roman" w:hAnsi="Times New Roman"/>
        </w:rPr>
        <w:t>3]</w:t>
      </w:r>
      <w:r>
        <w:rPr>
          <w:rFonts w:ascii="Times New Roman" w:hAnsi="Times New Roman"/>
        </w:rPr>
        <w:t>:</w:t>
      </w:r>
    </w:p>
    <w:tbl>
      <w:tblPr>
        <w:tblStyle w:val="TableGrid"/>
        <w:tblW w:w="0" w:type="auto"/>
        <w:tblLook w:val="04A0" w:firstRow="1" w:lastRow="0" w:firstColumn="1" w:lastColumn="0" w:noHBand="0" w:noVBand="1"/>
      </w:tblPr>
      <w:tblGrid>
        <w:gridCol w:w="9629"/>
      </w:tblGrid>
      <w:tr w:rsidR="00D80695" w14:paraId="6DAA5CD4" w14:textId="77777777" w:rsidTr="00D80695">
        <w:tc>
          <w:tcPr>
            <w:tcW w:w="9629" w:type="dxa"/>
          </w:tcPr>
          <w:p w14:paraId="60F922C7" w14:textId="77777777" w:rsidR="00310009" w:rsidRPr="00C35CAB" w:rsidRDefault="00310009" w:rsidP="00310009">
            <w:r w:rsidRPr="00C35CAB">
              <w:rPr>
                <w:highlight w:val="green"/>
              </w:rPr>
              <w:t>Agreements</w:t>
            </w:r>
            <w:r w:rsidRPr="00C35CAB">
              <w:t>:</w:t>
            </w:r>
          </w:p>
          <w:p w14:paraId="50B80515"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C35CAB">
              <w:rPr>
                <w:lang w:eastAsia="ja-JP"/>
              </w:rPr>
              <w:t>Sidelink HARQ ACK/NACK report from transmitter UE to gNB is supported with details FFS.</w:t>
            </w:r>
          </w:p>
          <w:p w14:paraId="3EA7D9D6" w14:textId="77777777" w:rsidR="00310009" w:rsidRPr="00C35CAB" w:rsidRDefault="00310009" w:rsidP="00310009">
            <w:pPr>
              <w:pStyle w:val="ListParagraph"/>
              <w:ind w:left="800"/>
              <w:rPr>
                <w:lang w:eastAsia="ja-JP"/>
              </w:rPr>
            </w:pPr>
            <w:r w:rsidRPr="00C35CAB">
              <w:rPr>
                <w:lang w:eastAsia="ja-JP"/>
              </w:rPr>
              <w:t>Note: this reverts the following agreement from RAN1#96:</w:t>
            </w:r>
          </w:p>
          <w:p w14:paraId="485CAD1A" w14:textId="77777777" w:rsidR="00310009" w:rsidRPr="00C35CAB"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r w:rsidRPr="00C35CAB">
              <w:rPr>
                <w:lang w:eastAsia="ja-JP"/>
              </w:rPr>
              <w:t>Sidelink HARQ ACK/NACK report from UE to gNB is not supported in Rel-16.</w:t>
            </w:r>
          </w:p>
          <w:p w14:paraId="2669876D"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C35CAB">
              <w:rPr>
                <w:lang w:eastAsia="ja-JP"/>
              </w:rPr>
              <w:t>SR/BSR report to gNB for the purpose of requesting resources for HARQ retransmission is not supported.</w:t>
            </w:r>
          </w:p>
          <w:p w14:paraId="397D374A" w14:textId="77777777" w:rsidR="00310009" w:rsidRPr="00C35CAB" w:rsidRDefault="00310009" w:rsidP="00310009">
            <w:pPr>
              <w:rPr>
                <w:lang w:eastAsia="ja-JP"/>
              </w:rPr>
            </w:pPr>
            <w:r w:rsidRPr="00C35CAB">
              <w:rPr>
                <w:lang w:eastAsia="ja-JP"/>
              </w:rPr>
              <w:t xml:space="preserve">Send an LS to RAN2 with the agreement </w:t>
            </w:r>
            <w:r>
              <w:rPr>
                <w:lang w:eastAsia="ja-JP"/>
              </w:rPr>
              <w:t xml:space="preserve">– </w:t>
            </w:r>
            <w:hyperlink r:id="rId11" w:history="1">
              <w:r w:rsidRPr="00FA5656">
                <w:rPr>
                  <w:rStyle w:val="Hyperlink"/>
                  <w:b/>
                  <w:lang w:eastAsia="ja-JP"/>
                </w:rPr>
                <w:t>R1-1907889</w:t>
              </w:r>
            </w:hyperlink>
            <w:r>
              <w:rPr>
                <w:b/>
                <w:lang w:eastAsia="ja-JP"/>
              </w:rPr>
              <w:t xml:space="preserve">, </w:t>
            </w:r>
            <w:r w:rsidRPr="00C35CAB">
              <w:rPr>
                <w:lang w:eastAsia="ja-JP"/>
              </w:rPr>
              <w:t xml:space="preserve">which is </w:t>
            </w:r>
            <w:r w:rsidRPr="00C35CAB">
              <w:rPr>
                <w:highlight w:val="green"/>
                <w:lang w:eastAsia="ja-JP"/>
              </w:rPr>
              <w:t xml:space="preserve">approved </w:t>
            </w:r>
            <w:r w:rsidRPr="00C35CAB">
              <w:rPr>
                <w:lang w:eastAsia="ja-JP"/>
              </w:rPr>
              <w:t xml:space="preserve">with final LS in </w:t>
            </w:r>
            <w:r w:rsidRPr="00C35CAB">
              <w:rPr>
                <w:highlight w:val="green"/>
                <w:lang w:eastAsia="ja-JP"/>
              </w:rPr>
              <w:t>R1-1907905</w:t>
            </w:r>
          </w:p>
          <w:p w14:paraId="13BEF1CB" w14:textId="77777777" w:rsidR="00310009" w:rsidRDefault="00310009" w:rsidP="00310009"/>
          <w:p w14:paraId="1F4EBF68" w14:textId="77777777" w:rsidR="00310009" w:rsidRPr="00DA2658" w:rsidRDefault="00310009" w:rsidP="00310009">
            <w:r w:rsidRPr="00DA2658">
              <w:rPr>
                <w:highlight w:val="green"/>
              </w:rPr>
              <w:t>Agreements</w:t>
            </w:r>
            <w:r w:rsidRPr="00DA2658">
              <w:t>:</w:t>
            </w:r>
          </w:p>
          <w:p w14:paraId="2B11B746" w14:textId="77777777" w:rsidR="00310009" w:rsidRPr="00DA2658"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DA2658">
              <w:rPr>
                <w:lang w:eastAsia="ja-JP"/>
              </w:rPr>
              <w:t>NR sidelink does not support performing different transmissions of a TB using different configured grants.</w:t>
            </w:r>
          </w:p>
          <w:p w14:paraId="61B0BEA3" w14:textId="77777777" w:rsidR="00310009" w:rsidRDefault="00310009" w:rsidP="00310009"/>
          <w:p w14:paraId="548E549F" w14:textId="77777777" w:rsidR="00310009" w:rsidRPr="004936D4" w:rsidRDefault="00310009" w:rsidP="00310009">
            <w:r w:rsidRPr="004936D4">
              <w:rPr>
                <w:highlight w:val="green"/>
              </w:rPr>
              <w:t>Agreements</w:t>
            </w:r>
            <w:r w:rsidRPr="004936D4">
              <w:t>:</w:t>
            </w:r>
          </w:p>
          <w:p w14:paraId="735136B1" w14:textId="77777777" w:rsidR="00310009" w:rsidRPr="004936D4"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4936D4">
              <w:rPr>
                <w:lang w:eastAsia="ja-JP"/>
              </w:rPr>
              <w:t>For mode 1:</w:t>
            </w:r>
          </w:p>
          <w:p w14:paraId="0DAC29D4" w14:textId="77777777" w:rsidR="00310009" w:rsidRPr="004936D4"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r w:rsidRPr="004936D4">
              <w:rPr>
                <w:lang w:eastAsia="ja-JP"/>
              </w:rPr>
              <w:t>A dynamic grant by the gNB provides resources for transmission of PSCCH and PSSCH.</w:t>
            </w:r>
          </w:p>
          <w:p w14:paraId="508DDED4" w14:textId="77777777" w:rsidR="00D80695" w:rsidRDefault="00D80695" w:rsidP="00054229">
            <w:pPr>
              <w:rPr>
                <w:rFonts w:ascii="Times New Roman" w:hAnsi="Times New Roman"/>
              </w:rPr>
            </w:pPr>
          </w:p>
        </w:tc>
      </w:tr>
    </w:tbl>
    <w:p w14:paraId="119322E7" w14:textId="77777777" w:rsidR="00D80695" w:rsidRDefault="00D80695" w:rsidP="00054229">
      <w:pPr>
        <w:rPr>
          <w:rFonts w:ascii="Times New Roman" w:hAnsi="Times New Roman"/>
        </w:rPr>
      </w:pPr>
    </w:p>
    <w:p w14:paraId="4678B6E3" w14:textId="33F16716" w:rsidR="00054229" w:rsidRPr="00B93BAD" w:rsidRDefault="00F452D4" w:rsidP="00054229">
      <w:pPr>
        <w:rPr>
          <w:rFonts w:ascii="Times New Roman" w:hAnsi="Times New Roman"/>
        </w:rPr>
      </w:pPr>
      <w:r>
        <w:rPr>
          <w:rFonts w:ascii="Times New Roman" w:hAnsi="Times New Roman"/>
        </w:rPr>
        <w:t>In feature lead’s summary open issues are captured [</w:t>
      </w:r>
      <w:r w:rsidR="00EA301C">
        <w:rPr>
          <w:rFonts w:ascii="Times New Roman" w:hAnsi="Times New Roman"/>
        </w:rPr>
        <w:t>2</w:t>
      </w:r>
      <w:r>
        <w:rPr>
          <w:rFonts w:ascii="Times New Roman" w:hAnsi="Times New Roman"/>
        </w:rPr>
        <w:t xml:space="preserve">]. In this document we provide our view on </w:t>
      </w:r>
      <w:r w:rsidR="005B0462">
        <w:rPr>
          <w:rFonts w:ascii="Times New Roman" w:hAnsi="Times New Roman"/>
        </w:rPr>
        <w:t xml:space="preserve">some of the </w:t>
      </w:r>
      <w:r>
        <w:rPr>
          <w:rFonts w:ascii="Times New Roman" w:hAnsi="Times New Roman"/>
        </w:rPr>
        <w:t>issues.</w:t>
      </w:r>
    </w:p>
    <w:p w14:paraId="200CF377" w14:textId="77777777" w:rsidR="00054229" w:rsidRPr="00B93BAD" w:rsidRDefault="00054229" w:rsidP="00054229">
      <w:pPr>
        <w:pStyle w:val="Heading1"/>
        <w:jc w:val="both"/>
        <w:rPr>
          <w:rFonts w:ascii="Times New Roman" w:hAnsi="Times New Roman" w:cs="Times New Roman"/>
        </w:rPr>
      </w:pPr>
      <w:bookmarkStart w:id="5" w:name="_Ref178064866"/>
      <w:r w:rsidRPr="00B93BAD">
        <w:rPr>
          <w:rFonts w:ascii="Times New Roman" w:hAnsi="Times New Roman" w:cs="Times New Roman"/>
        </w:rPr>
        <w:t>Discussion</w:t>
      </w:r>
      <w:bookmarkEnd w:id="5"/>
    </w:p>
    <w:p w14:paraId="7DE1ED15" w14:textId="77777777" w:rsidR="00E417C5" w:rsidRDefault="00CD568A" w:rsidP="00054229">
      <w:pPr>
        <w:rPr>
          <w:rFonts w:ascii="Times New Roman" w:hAnsi="Times New Roman"/>
        </w:rPr>
      </w:pPr>
      <w:r>
        <w:rPr>
          <w:rFonts w:ascii="Times New Roman" w:hAnsi="Times New Roman"/>
        </w:rPr>
        <w:t>I</w:t>
      </w:r>
      <w:r w:rsidR="00F767AB">
        <w:rPr>
          <w:rFonts w:ascii="Times New Roman" w:hAnsi="Times New Roman"/>
        </w:rPr>
        <w:t>t is agreed in RAN1 #96Bis that dynamic grant provides resources for one or multiple sidelink transmissions of a single TB</w:t>
      </w:r>
      <w:r w:rsidR="00E417C5">
        <w:rPr>
          <w:rFonts w:ascii="Times New Roman" w:hAnsi="Times New Roman"/>
        </w:rPr>
        <w:t>. In LTE-V2X dynamic and SPS grant are supported with following signalling mechanism:</w:t>
      </w:r>
    </w:p>
    <w:p w14:paraId="4CEF6B97" w14:textId="3C2A4DE8" w:rsidR="00E417C5" w:rsidRDefault="00E417C5" w:rsidP="00E417C5">
      <w:pPr>
        <w:jc w:val="center"/>
        <w:rPr>
          <w:rFonts w:ascii="Times New Roman" w:hAnsi="Times New Roman"/>
        </w:rPr>
      </w:pPr>
      <w:r>
        <w:object w:dxaOrig="8326" w:dyaOrig="5124" w14:anchorId="74C80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190.3pt" o:ole="">
            <v:imagedata r:id="rId12" o:title=""/>
          </v:shape>
          <o:OLEObject Type="Embed" ProgID="Visio.Drawing.11" ShapeID="_x0000_i1025" DrawAspect="Content" ObjectID="_1627431728" r:id="rId13"/>
        </w:object>
      </w:r>
    </w:p>
    <w:p w14:paraId="5771D2F2" w14:textId="1A7484A9" w:rsidR="00E417C5" w:rsidRPr="00E417C5" w:rsidRDefault="00E417C5" w:rsidP="00E417C5">
      <w:pPr>
        <w:jc w:val="center"/>
        <w:rPr>
          <w:rFonts w:ascii="Times New Roman" w:hAnsi="Times New Roman"/>
          <w:b/>
        </w:rPr>
      </w:pPr>
      <w:r w:rsidRPr="00E417C5">
        <w:rPr>
          <w:rFonts w:ascii="Times New Roman" w:hAnsi="Times New Roman"/>
          <w:b/>
        </w:rPr>
        <w:t>Figure 1: LTE-V2X mode 1 dynamic resource allocation singling</w:t>
      </w:r>
    </w:p>
    <w:p w14:paraId="77A4F4A5" w14:textId="7FFAEB73" w:rsidR="00E417C5" w:rsidRDefault="00E417C5" w:rsidP="00E417C5">
      <w:pPr>
        <w:jc w:val="center"/>
        <w:rPr>
          <w:rFonts w:ascii="Times New Roman" w:hAnsi="Times New Roman"/>
        </w:rPr>
      </w:pPr>
      <w:r>
        <w:object w:dxaOrig="8326" w:dyaOrig="4764" w14:anchorId="4B8631F1">
          <v:shape id="_x0000_i1026" type="#_x0000_t75" style="width:303.9pt;height:173.9pt" o:ole="">
            <v:imagedata r:id="rId14" o:title=""/>
          </v:shape>
          <o:OLEObject Type="Embed" ProgID="Visio.Drawing.11" ShapeID="_x0000_i1026" DrawAspect="Content" ObjectID="_1627431729" r:id="rId15"/>
        </w:object>
      </w:r>
    </w:p>
    <w:p w14:paraId="4D8E02CD" w14:textId="769A0DB2" w:rsidR="00E417C5" w:rsidRDefault="00E417C5" w:rsidP="00E417C5">
      <w:pPr>
        <w:jc w:val="center"/>
        <w:rPr>
          <w:rFonts w:ascii="Times New Roman" w:hAnsi="Times New Roman"/>
        </w:rPr>
      </w:pPr>
      <w:r w:rsidRPr="00E417C5">
        <w:rPr>
          <w:rFonts w:ascii="Times New Roman" w:hAnsi="Times New Roman"/>
          <w:b/>
        </w:rPr>
        <w:t xml:space="preserve">Figure </w:t>
      </w:r>
      <w:r>
        <w:rPr>
          <w:rFonts w:ascii="Times New Roman" w:hAnsi="Times New Roman"/>
          <w:b/>
        </w:rPr>
        <w:t>2</w:t>
      </w:r>
      <w:r w:rsidRPr="00E417C5">
        <w:rPr>
          <w:rFonts w:ascii="Times New Roman" w:hAnsi="Times New Roman"/>
          <w:b/>
        </w:rPr>
        <w:t xml:space="preserve">: LTE-V2X mode 1 </w:t>
      </w:r>
      <w:r>
        <w:rPr>
          <w:rFonts w:ascii="Times New Roman" w:hAnsi="Times New Roman"/>
          <w:b/>
        </w:rPr>
        <w:t xml:space="preserve">SPS </w:t>
      </w:r>
      <w:r w:rsidRPr="00E417C5">
        <w:rPr>
          <w:rFonts w:ascii="Times New Roman" w:hAnsi="Times New Roman"/>
          <w:b/>
        </w:rPr>
        <w:t>resource allocation singling</w:t>
      </w:r>
    </w:p>
    <w:p w14:paraId="01E82761" w14:textId="400F3C3A" w:rsidR="00134F4A" w:rsidRDefault="005A48EC" w:rsidP="00054229">
      <w:pPr>
        <w:rPr>
          <w:rFonts w:ascii="Times New Roman" w:hAnsi="Times New Roman"/>
        </w:rPr>
      </w:pPr>
      <w:r>
        <w:rPr>
          <w:rFonts w:ascii="Times New Roman" w:hAnsi="Times New Roman"/>
        </w:rPr>
        <w:t xml:space="preserve">Mode 1 resource allocation mechanism for NR-V2X can follow the LTE-V2X signalling mechanism as starting point. </w:t>
      </w:r>
      <w:r w:rsidR="00F767AB">
        <w:rPr>
          <w:rFonts w:ascii="Times New Roman" w:hAnsi="Times New Roman"/>
        </w:rPr>
        <w:t xml:space="preserve"> </w:t>
      </w:r>
    </w:p>
    <w:p w14:paraId="23864215" w14:textId="7F57D340" w:rsidR="005A48EC" w:rsidRDefault="005A48EC" w:rsidP="00054229">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3A3CDC0C" w14:textId="52625EB1" w:rsidR="00134F4A" w:rsidRPr="00134F4A" w:rsidRDefault="00134F4A" w:rsidP="00054229">
      <w:pPr>
        <w:rPr>
          <w:rFonts w:ascii="Times New Roman" w:hAnsi="Times New Roman"/>
          <w:b/>
        </w:rPr>
      </w:pPr>
      <w:r w:rsidRPr="00134F4A">
        <w:rPr>
          <w:rFonts w:ascii="Times New Roman" w:hAnsi="Times New Roman"/>
          <w:b/>
        </w:rPr>
        <w:t xml:space="preserve">Issue </w:t>
      </w:r>
      <w:r w:rsidR="00310009">
        <w:rPr>
          <w:rFonts w:ascii="Times New Roman" w:hAnsi="Times New Roman"/>
          <w:b/>
        </w:rPr>
        <w:t>1</w:t>
      </w:r>
      <w:r w:rsidRPr="00134F4A">
        <w:rPr>
          <w:rFonts w:ascii="Times New Roman" w:hAnsi="Times New Roman"/>
          <w:b/>
        </w:rPr>
        <w:t>:</w:t>
      </w:r>
    </w:p>
    <w:tbl>
      <w:tblPr>
        <w:tblStyle w:val="TableGrid"/>
        <w:tblW w:w="0" w:type="auto"/>
        <w:tblLook w:val="04A0" w:firstRow="1" w:lastRow="0" w:firstColumn="1" w:lastColumn="0" w:noHBand="0" w:noVBand="1"/>
      </w:tblPr>
      <w:tblGrid>
        <w:gridCol w:w="9629"/>
      </w:tblGrid>
      <w:tr w:rsidR="00134F4A" w14:paraId="58CA945C" w14:textId="77777777" w:rsidTr="00134F4A">
        <w:tc>
          <w:tcPr>
            <w:tcW w:w="9629" w:type="dxa"/>
          </w:tcPr>
          <w:p w14:paraId="72483FF5" w14:textId="1E1E38E0" w:rsidR="00134F4A" w:rsidRDefault="00134F4A" w:rsidP="00CD568A">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134F4A">
              <w:rPr>
                <w:lang w:eastAsia="ja-JP"/>
              </w:rPr>
              <w:t>A grant provided by the gNB may include resources for transmission of PSCCH, PSSCH, and PSFCH (if present).</w:t>
            </w:r>
          </w:p>
        </w:tc>
      </w:tr>
    </w:tbl>
    <w:p w14:paraId="169643D4" w14:textId="15AB98CF" w:rsidR="00CD568A" w:rsidRDefault="00310009" w:rsidP="00054229">
      <w:pPr>
        <w:rPr>
          <w:rFonts w:ascii="Times New Roman" w:hAnsi="Times New Roman"/>
        </w:rPr>
      </w:pPr>
      <w:r>
        <w:rPr>
          <w:rFonts w:ascii="Times New Roman" w:hAnsi="Times New Roman"/>
        </w:rPr>
        <w:t>It is agreed in RAN1 #97 that grant provided by gNB include resources for PSCCH and PSSCH.</w:t>
      </w:r>
    </w:p>
    <w:p w14:paraId="3C2886C6" w14:textId="45F5742D" w:rsidR="00134F4A" w:rsidRDefault="00134F4A" w:rsidP="00054229">
      <w:pPr>
        <w:rPr>
          <w:rFonts w:ascii="Times New Roman" w:hAnsi="Times New Roman"/>
        </w:rPr>
      </w:pPr>
      <w:r>
        <w:rPr>
          <w:rFonts w:ascii="Times New Roman" w:hAnsi="Times New Roman"/>
        </w:rPr>
        <w:t xml:space="preserve">We envision that PSSCH resource are configured in a resource pool and there is implicit relationship between transmission resources used for PSCCH/PSSCH and corresponding PSFCH resources. Due to this relationship it is not required for gNB to indicate PSFCH resources as it adds several complexities of signalling it to all receiver UEs without </w:t>
      </w:r>
      <w:r w:rsidR="00CD568A">
        <w:rPr>
          <w:rFonts w:ascii="Times New Roman" w:hAnsi="Times New Roman"/>
        </w:rPr>
        <w:t>the</w:t>
      </w:r>
      <w:r>
        <w:rPr>
          <w:rFonts w:ascii="Times New Roman" w:hAnsi="Times New Roman"/>
        </w:rPr>
        <w:t xml:space="preserve"> justifiable gain. </w:t>
      </w:r>
    </w:p>
    <w:p w14:paraId="6864DE84" w14:textId="3B1E1281" w:rsidR="00134F4A" w:rsidRDefault="00134F4A" w:rsidP="00054229">
      <w:pPr>
        <w:rPr>
          <w:rFonts w:ascii="Times New Roman" w:hAnsi="Times New Roman"/>
          <w:b/>
        </w:rPr>
      </w:pPr>
      <w:r w:rsidRPr="001278BF">
        <w:rPr>
          <w:rFonts w:ascii="Times New Roman" w:hAnsi="Times New Roman"/>
          <w:b/>
        </w:rPr>
        <w:t xml:space="preserve">Proposal </w:t>
      </w:r>
      <w:r w:rsidR="00310009">
        <w:rPr>
          <w:rFonts w:ascii="Times New Roman" w:hAnsi="Times New Roman"/>
          <w:b/>
        </w:rPr>
        <w:t>2</w:t>
      </w:r>
      <w:r w:rsidRPr="001278BF">
        <w:rPr>
          <w:rFonts w:ascii="Times New Roman" w:hAnsi="Times New Roman"/>
          <w:b/>
        </w:rPr>
        <w:t xml:space="preserve">: PSFCH resources are pre-configured in a resource pool and </w:t>
      </w:r>
      <w:r w:rsidR="001278BF" w:rsidRPr="001278BF">
        <w:rPr>
          <w:rFonts w:ascii="Times New Roman" w:hAnsi="Times New Roman"/>
          <w:b/>
        </w:rPr>
        <w:t xml:space="preserve">gNB is not required to indicate PSFCH resources to transmitter/receivers for a given transmission. </w:t>
      </w:r>
    </w:p>
    <w:p w14:paraId="54ED1162" w14:textId="7F92A50F" w:rsidR="001278BF" w:rsidRDefault="001278BF" w:rsidP="00054229">
      <w:pPr>
        <w:rPr>
          <w:rFonts w:ascii="Times New Roman" w:hAnsi="Times New Roman"/>
          <w:b/>
        </w:rPr>
      </w:pPr>
      <w:r>
        <w:rPr>
          <w:rFonts w:ascii="Times New Roman" w:hAnsi="Times New Roman"/>
          <w:b/>
        </w:rPr>
        <w:t xml:space="preserve">Issue </w:t>
      </w:r>
      <w:r w:rsidR="00310009">
        <w:rPr>
          <w:rFonts w:ascii="Times New Roman" w:hAnsi="Times New Roman"/>
          <w:b/>
        </w:rPr>
        <w:t>2</w:t>
      </w:r>
      <w:r w:rsidR="00697200">
        <w:rPr>
          <w:rFonts w:ascii="Times New Roman" w:hAnsi="Times New Roman"/>
          <w:b/>
        </w:rPr>
        <w:t xml:space="preserve"> and Issue </w:t>
      </w:r>
      <w:r w:rsidR="00310009">
        <w:rPr>
          <w:rFonts w:ascii="Times New Roman" w:hAnsi="Times New Roman"/>
          <w:b/>
        </w:rPr>
        <w:t>3</w:t>
      </w:r>
      <w:r>
        <w:rPr>
          <w:rFonts w:ascii="Times New Roman" w:hAnsi="Times New Roman"/>
          <w:b/>
        </w:rPr>
        <w:t xml:space="preserve">: </w:t>
      </w:r>
    </w:p>
    <w:tbl>
      <w:tblPr>
        <w:tblStyle w:val="TableGrid"/>
        <w:tblW w:w="0" w:type="auto"/>
        <w:tblLook w:val="04A0" w:firstRow="1" w:lastRow="0" w:firstColumn="1" w:lastColumn="0" w:noHBand="0" w:noVBand="1"/>
      </w:tblPr>
      <w:tblGrid>
        <w:gridCol w:w="9629"/>
      </w:tblGrid>
      <w:tr w:rsidR="001278BF" w14:paraId="4E129882" w14:textId="77777777" w:rsidTr="001278BF">
        <w:tc>
          <w:tcPr>
            <w:tcW w:w="9629" w:type="dxa"/>
          </w:tcPr>
          <w:p w14:paraId="54E77223" w14:textId="127D9D38" w:rsidR="001278BF" w:rsidRDefault="001278BF" w:rsidP="001278BF">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b/>
              </w:rPr>
            </w:pPr>
            <w:r w:rsidRPr="001278BF">
              <w:rPr>
                <w:lang w:eastAsia="ja-JP"/>
              </w:rPr>
              <w:t>Mode-1 grants distinguish whether they are for UC, GC, or BC.</w:t>
            </w:r>
          </w:p>
        </w:tc>
      </w:tr>
    </w:tbl>
    <w:p w14:paraId="3E492F48" w14:textId="77777777" w:rsidR="00697200" w:rsidRDefault="00697200" w:rsidP="00054229">
      <w:pPr>
        <w:rPr>
          <w:rFonts w:ascii="Times New Roman" w:hAnsi="Times New Roman"/>
        </w:rPr>
      </w:pPr>
    </w:p>
    <w:tbl>
      <w:tblPr>
        <w:tblStyle w:val="TableGrid"/>
        <w:tblW w:w="0" w:type="auto"/>
        <w:tblLook w:val="04A0" w:firstRow="1" w:lastRow="0" w:firstColumn="1" w:lastColumn="0" w:noHBand="0" w:noVBand="1"/>
      </w:tblPr>
      <w:tblGrid>
        <w:gridCol w:w="9629"/>
      </w:tblGrid>
      <w:tr w:rsidR="00697200" w14:paraId="089EB921" w14:textId="77777777" w:rsidTr="00697200">
        <w:tc>
          <w:tcPr>
            <w:tcW w:w="9629" w:type="dxa"/>
          </w:tcPr>
          <w:p w14:paraId="10FE58BB" w14:textId="6C2D8390" w:rsidR="00697200" w:rsidRDefault="00697200" w:rsidP="00697200">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697200">
              <w:rPr>
                <w:lang w:eastAsia="ja-JP"/>
              </w:rPr>
              <w:t xml:space="preserve">RAN1 to discuss </w:t>
            </w:r>
            <w:r w:rsidR="00E9631A">
              <w:rPr>
                <w:lang w:eastAsia="ja-JP"/>
              </w:rPr>
              <w:t>whether the grant should include the ID of the destination UE</w:t>
            </w:r>
          </w:p>
        </w:tc>
      </w:tr>
    </w:tbl>
    <w:p w14:paraId="7280A4B3" w14:textId="77777777" w:rsidR="00697200" w:rsidRDefault="00697200" w:rsidP="00054229">
      <w:pPr>
        <w:rPr>
          <w:rFonts w:ascii="Times New Roman" w:hAnsi="Times New Roman"/>
        </w:rPr>
      </w:pPr>
    </w:p>
    <w:p w14:paraId="6C84C1A1" w14:textId="453AE0A4" w:rsidR="001278BF" w:rsidRPr="00B432B1" w:rsidRDefault="001278BF" w:rsidP="00054229">
      <w:pPr>
        <w:rPr>
          <w:rFonts w:ascii="Times New Roman" w:hAnsi="Times New Roman"/>
        </w:rPr>
      </w:pPr>
      <w:r w:rsidRPr="00B432B1">
        <w:rPr>
          <w:rFonts w:ascii="Times New Roman" w:hAnsi="Times New Roman"/>
        </w:rPr>
        <w:lastRenderedPageBreak/>
        <w:t xml:space="preserve">Similar to LTE-V2X mode </w:t>
      </w:r>
      <w:r w:rsidR="00B432B1" w:rsidRPr="00B432B1">
        <w:rPr>
          <w:rFonts w:ascii="Times New Roman" w:hAnsi="Times New Roman"/>
        </w:rPr>
        <w:t xml:space="preserve">3 resource allocation, RRC </w:t>
      </w:r>
      <w:r w:rsidR="005B0462" w:rsidRPr="00B432B1">
        <w:rPr>
          <w:rFonts w:ascii="Times New Roman" w:hAnsi="Times New Roman"/>
        </w:rPr>
        <w:t>singling</w:t>
      </w:r>
      <w:r w:rsidR="00B432B1" w:rsidRPr="00B432B1">
        <w:rPr>
          <w:rFonts w:ascii="Times New Roman" w:hAnsi="Times New Roman"/>
        </w:rPr>
        <w:t xml:space="preserve"> will indicate destination IDs which can also include cast type of the required transmission. Corresponding destination index will be indicated in BSR. Instead of indicating cast type in DCI gNB can directly indicate destination index in that manner it can have better control of resource management.</w:t>
      </w:r>
    </w:p>
    <w:p w14:paraId="0F1F48E7" w14:textId="45FAA0F0" w:rsidR="00B432B1" w:rsidRDefault="00B432B1" w:rsidP="00054229">
      <w:pPr>
        <w:rPr>
          <w:rFonts w:ascii="Times New Roman" w:hAnsi="Times New Roman"/>
          <w:b/>
        </w:rPr>
      </w:pPr>
      <w:r>
        <w:rPr>
          <w:rFonts w:ascii="Times New Roman" w:hAnsi="Times New Roman"/>
          <w:b/>
        </w:rPr>
        <w:t xml:space="preserve">Proposal </w:t>
      </w:r>
      <w:r w:rsidR="00310009">
        <w:rPr>
          <w:rFonts w:ascii="Times New Roman" w:hAnsi="Times New Roman"/>
          <w:b/>
        </w:rPr>
        <w:t>3</w:t>
      </w:r>
      <w:r>
        <w:rPr>
          <w:rFonts w:ascii="Times New Roman" w:hAnsi="Times New Roman"/>
          <w:b/>
        </w:rPr>
        <w:t xml:space="preserve">: Instead of cast type, gNB indicates destination index </w:t>
      </w:r>
      <w:r w:rsidR="0035245C">
        <w:rPr>
          <w:rFonts w:ascii="Times New Roman" w:hAnsi="Times New Roman"/>
          <w:b/>
        </w:rPr>
        <w:t xml:space="preserve">in DCI in case of dynamic scheduling </w:t>
      </w:r>
      <w:r>
        <w:rPr>
          <w:rFonts w:ascii="Times New Roman" w:hAnsi="Times New Roman"/>
          <w:b/>
        </w:rPr>
        <w:t>(as reported in BSR or in RRC messages) to provided dynamic grant or configured grant type 1/ type 2.</w:t>
      </w:r>
    </w:p>
    <w:p w14:paraId="06147367" w14:textId="7CA628C4" w:rsidR="00B432B1" w:rsidRDefault="00B432B1" w:rsidP="00054229">
      <w:pPr>
        <w:rPr>
          <w:rFonts w:ascii="Times New Roman" w:hAnsi="Times New Roman"/>
          <w:b/>
        </w:rPr>
      </w:pPr>
    </w:p>
    <w:p w14:paraId="0D76EE3A" w14:textId="278F9D15" w:rsidR="00B432B1" w:rsidRDefault="00B432B1" w:rsidP="00054229">
      <w:pPr>
        <w:rPr>
          <w:rFonts w:ascii="Times New Roman" w:hAnsi="Times New Roman"/>
          <w:b/>
        </w:rPr>
      </w:pPr>
      <w:r>
        <w:rPr>
          <w:rFonts w:ascii="Times New Roman" w:hAnsi="Times New Roman"/>
          <w:b/>
        </w:rPr>
        <w:t xml:space="preserve">Issue </w:t>
      </w:r>
      <w:r w:rsidR="00133C3D">
        <w:rPr>
          <w:rFonts w:ascii="Times New Roman" w:hAnsi="Times New Roman"/>
          <w:b/>
        </w:rPr>
        <w:t>4</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B432B1" w14:paraId="49C161AF" w14:textId="77777777" w:rsidTr="00B432B1">
        <w:tc>
          <w:tcPr>
            <w:tcW w:w="9629" w:type="dxa"/>
          </w:tcPr>
          <w:p w14:paraId="3AF1C703" w14:textId="77777777" w:rsidR="00B432B1" w:rsidRPr="00B432B1" w:rsidRDefault="00B432B1" w:rsidP="00B432B1">
            <w:pPr>
              <w:pStyle w:val="ListParagraph"/>
              <w:numPr>
                <w:ilvl w:val="0"/>
                <w:numId w:val="13"/>
              </w:numPr>
              <w:overflowPunct/>
              <w:autoSpaceDE/>
              <w:autoSpaceDN/>
              <w:adjustRightInd/>
              <w:spacing w:after="0" w:line="256" w:lineRule="auto"/>
              <w:contextualSpacing w:val="0"/>
              <w:jc w:val="left"/>
              <w:textAlignment w:val="auto"/>
              <w:rPr>
                <w:lang w:eastAsia="ja-JP"/>
              </w:rPr>
            </w:pPr>
            <w:r w:rsidRPr="00B432B1">
              <w:rPr>
                <w:lang w:eastAsia="ja-JP"/>
              </w:rPr>
              <w:t>The gNB configures ranges of transmission parameters from which the UE can autonomously select values.</w:t>
            </w:r>
          </w:p>
          <w:p w14:paraId="13A55BD9" w14:textId="63EA1CB2" w:rsidR="00B432B1" w:rsidRDefault="00B432B1" w:rsidP="00B432B1">
            <w:pPr>
              <w:pStyle w:val="ListParagraph"/>
              <w:numPr>
                <w:ilvl w:val="1"/>
                <w:numId w:val="13"/>
              </w:numPr>
              <w:overflowPunct/>
              <w:autoSpaceDE/>
              <w:autoSpaceDN/>
              <w:adjustRightInd/>
              <w:spacing w:after="0" w:line="256" w:lineRule="auto"/>
              <w:contextualSpacing w:val="0"/>
              <w:jc w:val="left"/>
              <w:textAlignment w:val="auto"/>
              <w:rPr>
                <w:rFonts w:ascii="Times New Roman" w:hAnsi="Times New Roman"/>
                <w:b/>
              </w:rPr>
            </w:pPr>
            <w:r w:rsidRPr="00B432B1">
              <w:rPr>
                <w:lang w:eastAsia="ja-JP"/>
              </w:rPr>
              <w:t>FFS whether this applies to dynamic and/or configured grant.</w:t>
            </w:r>
          </w:p>
        </w:tc>
      </w:tr>
    </w:tbl>
    <w:p w14:paraId="383AA14D" w14:textId="571F62CB" w:rsidR="00B432B1" w:rsidRDefault="00B432B1" w:rsidP="00054229">
      <w:pPr>
        <w:rPr>
          <w:rFonts w:ascii="Times New Roman" w:hAnsi="Times New Roman"/>
          <w:b/>
        </w:rPr>
      </w:pPr>
    </w:p>
    <w:p w14:paraId="6A1DF77C" w14:textId="4914C442" w:rsidR="00C54289" w:rsidRPr="00C54289" w:rsidRDefault="00C54289" w:rsidP="00054229">
      <w:pPr>
        <w:rPr>
          <w:rFonts w:ascii="Times New Roman" w:hAnsi="Times New Roman"/>
        </w:rPr>
      </w:pPr>
      <w:r w:rsidRPr="00C54289">
        <w:rPr>
          <w:rFonts w:ascii="Times New Roman" w:hAnsi="Times New Roman"/>
        </w:rPr>
        <w:t xml:space="preserve">In LTE-V2X, eNB provides range of Tx parameters that can be used by UE in autonomous manner depending on situation (e.g. UE speed). We envision similar </w:t>
      </w:r>
      <w:r w:rsidR="00310009" w:rsidRPr="00C54289">
        <w:rPr>
          <w:rFonts w:ascii="Times New Roman" w:hAnsi="Times New Roman"/>
        </w:rPr>
        <w:t>framework</w:t>
      </w:r>
      <w:r w:rsidRPr="00C54289">
        <w:rPr>
          <w:rFonts w:ascii="Times New Roman" w:hAnsi="Times New Roman"/>
        </w:rPr>
        <w:t xml:space="preserve"> for NR-V2X where depending on speed gNB can provide range of parameters e.g. MCS, DMRS pattern type etc which UE can select autonomously.</w:t>
      </w:r>
    </w:p>
    <w:p w14:paraId="4D2B2D55" w14:textId="4B89F86F" w:rsidR="00C54289" w:rsidRDefault="00C54289" w:rsidP="00054229">
      <w:pPr>
        <w:rPr>
          <w:rFonts w:ascii="Times New Roman" w:hAnsi="Times New Roman"/>
          <w:b/>
        </w:rPr>
      </w:pPr>
      <w:r>
        <w:rPr>
          <w:rFonts w:ascii="Times New Roman" w:hAnsi="Times New Roman"/>
          <w:b/>
        </w:rPr>
        <w:t xml:space="preserve">Proposal </w:t>
      </w:r>
      <w:r w:rsidR="00310009">
        <w:rPr>
          <w:rFonts w:ascii="Times New Roman" w:hAnsi="Times New Roman"/>
          <w:b/>
        </w:rPr>
        <w:t>4</w:t>
      </w:r>
      <w:r>
        <w:rPr>
          <w:rFonts w:ascii="Times New Roman" w:hAnsi="Times New Roman"/>
          <w:b/>
        </w:rPr>
        <w:t>: Pre-configuration provides range of different transmission parameters such as MCS, DMRS pattern type etc</w:t>
      </w:r>
      <w:r w:rsidR="00CD568A">
        <w:rPr>
          <w:rFonts w:ascii="Times New Roman" w:hAnsi="Times New Roman"/>
          <w:b/>
        </w:rPr>
        <w:t>.</w:t>
      </w:r>
      <w:r>
        <w:rPr>
          <w:rFonts w:ascii="Times New Roman" w:hAnsi="Times New Roman"/>
          <w:b/>
        </w:rPr>
        <w:t xml:space="preserve"> which UE can select autonomously based on scenario.</w:t>
      </w:r>
    </w:p>
    <w:p w14:paraId="070C90F2" w14:textId="0821467F" w:rsidR="00133C3D" w:rsidRDefault="00133C3D" w:rsidP="00054229">
      <w:pPr>
        <w:rPr>
          <w:rFonts w:ascii="Times New Roman" w:hAnsi="Times New Roman"/>
          <w:b/>
        </w:rPr>
      </w:pPr>
    </w:p>
    <w:p w14:paraId="7F9A1A8C" w14:textId="4B5BA2F1" w:rsidR="00133C3D" w:rsidRDefault="00133C3D" w:rsidP="00054229">
      <w:pPr>
        <w:rPr>
          <w:rFonts w:ascii="Times New Roman" w:hAnsi="Times New Roman"/>
          <w:b/>
        </w:rPr>
      </w:pPr>
      <w:r>
        <w:rPr>
          <w:rFonts w:ascii="Times New Roman" w:hAnsi="Times New Roman"/>
          <w:b/>
        </w:rPr>
        <w:t xml:space="preserve">Issue 5: </w:t>
      </w:r>
    </w:p>
    <w:tbl>
      <w:tblPr>
        <w:tblStyle w:val="TableGrid"/>
        <w:tblW w:w="0" w:type="auto"/>
        <w:tblLook w:val="04A0" w:firstRow="1" w:lastRow="0" w:firstColumn="1" w:lastColumn="0" w:noHBand="0" w:noVBand="1"/>
      </w:tblPr>
      <w:tblGrid>
        <w:gridCol w:w="9629"/>
      </w:tblGrid>
      <w:tr w:rsidR="00133C3D" w14:paraId="7F1F6F63" w14:textId="77777777" w:rsidTr="00133C3D">
        <w:tc>
          <w:tcPr>
            <w:tcW w:w="9629" w:type="dxa"/>
          </w:tcPr>
          <w:p w14:paraId="74012232" w14:textId="77777777" w:rsidR="00133C3D" w:rsidRPr="00133C3D" w:rsidRDefault="00133C3D" w:rsidP="00133C3D">
            <w:pPr>
              <w:pStyle w:val="ListParagraph"/>
              <w:numPr>
                <w:ilvl w:val="0"/>
                <w:numId w:val="13"/>
              </w:numPr>
              <w:overflowPunct/>
              <w:autoSpaceDE/>
              <w:autoSpaceDN/>
              <w:adjustRightInd/>
              <w:spacing w:after="0" w:line="259" w:lineRule="auto"/>
              <w:contextualSpacing w:val="0"/>
              <w:jc w:val="left"/>
              <w:textAlignment w:val="auto"/>
              <w:rPr>
                <w:lang w:eastAsia="ja-JP"/>
              </w:rPr>
            </w:pPr>
            <w:r w:rsidRPr="00133C3D">
              <w:rPr>
                <w:lang w:eastAsia="ja-JP"/>
              </w:rPr>
              <w:t>NR SL supports Mode-1 cross-carrier scheduling (i.e., different Uu and SL carriers).</w:t>
            </w:r>
          </w:p>
          <w:p w14:paraId="2B6FE7E1" w14:textId="77777777" w:rsidR="00133C3D" w:rsidRDefault="00133C3D" w:rsidP="00054229">
            <w:pPr>
              <w:rPr>
                <w:rFonts w:ascii="Times New Roman" w:hAnsi="Times New Roman"/>
                <w:b/>
              </w:rPr>
            </w:pPr>
          </w:p>
        </w:tc>
      </w:tr>
    </w:tbl>
    <w:p w14:paraId="5A2E9DCA" w14:textId="78824662" w:rsidR="00133C3D" w:rsidRPr="00133C3D" w:rsidRDefault="00133C3D" w:rsidP="00054229">
      <w:pPr>
        <w:rPr>
          <w:rFonts w:ascii="Times New Roman" w:hAnsi="Times New Roman"/>
        </w:rPr>
      </w:pPr>
      <w:r w:rsidRPr="00133C3D">
        <w:rPr>
          <w:rFonts w:ascii="Times New Roman" w:hAnsi="Times New Roman"/>
        </w:rPr>
        <w:t>LTE V2X supports cross carrier scheduling to facilitate scenarios like gNB in license carrier performs cross carrier SL mode 1 scheduling in ITS carriers. This feature is relevant for NR-V2X as well.</w:t>
      </w:r>
    </w:p>
    <w:p w14:paraId="38D324B3" w14:textId="1EB6CCD0" w:rsidR="00133C3D" w:rsidRPr="001278BF" w:rsidRDefault="00133C3D" w:rsidP="00054229">
      <w:pPr>
        <w:rPr>
          <w:rFonts w:ascii="Times New Roman" w:hAnsi="Times New Roman"/>
          <w:b/>
        </w:rPr>
      </w:pPr>
      <w:r>
        <w:rPr>
          <w:rFonts w:ascii="Times New Roman" w:hAnsi="Times New Roman"/>
          <w:b/>
        </w:rPr>
        <w:t>Proposal 5: Similar to LTE-V2X, NR-V2X supports mode-1 cross carrier scheduling. LTE V2X signalling (DCI, RRC, BSR) is considered as the baseline for NR-V2X.</w:t>
      </w:r>
    </w:p>
    <w:p w14:paraId="58143CDC"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1B6FAA94" w14:textId="26794004"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52F87C96" w14:textId="77777777" w:rsidR="008B27CB" w:rsidRDefault="008B27CB" w:rsidP="008B27CB">
      <w:pPr>
        <w:rPr>
          <w:rFonts w:ascii="Times New Roman" w:hAnsi="Times New Roman"/>
        </w:rPr>
      </w:pPr>
      <w:bookmarkStart w:id="6" w:name="_Ref189809556"/>
      <w:bookmarkStart w:id="7" w:name="_Ref174151459"/>
      <w:bookmarkStart w:id="8" w:name="_Ref450865335"/>
      <w:r w:rsidRPr="005A48EC">
        <w:rPr>
          <w:rFonts w:ascii="Times New Roman" w:hAnsi="Times New Roman"/>
          <w:b/>
        </w:rPr>
        <w:t xml:space="preserve">Proposal 1: Mode 1 resource allocation mechanism for NR-V2X can follow the LTE-V2X signalling mechanism as starting point.  </w:t>
      </w:r>
    </w:p>
    <w:p w14:paraId="73605E61" w14:textId="77777777" w:rsidR="008B27CB" w:rsidRDefault="008B27CB" w:rsidP="008B27CB">
      <w:pPr>
        <w:rPr>
          <w:rFonts w:ascii="Times New Roman" w:hAnsi="Times New Roman"/>
          <w:b/>
        </w:rPr>
      </w:pPr>
      <w:r w:rsidRPr="001278BF">
        <w:rPr>
          <w:rFonts w:ascii="Times New Roman" w:hAnsi="Times New Roman"/>
          <w:b/>
        </w:rPr>
        <w:t xml:space="preserve">Proposal </w:t>
      </w:r>
      <w:r>
        <w:rPr>
          <w:rFonts w:ascii="Times New Roman" w:hAnsi="Times New Roman"/>
          <w:b/>
        </w:rPr>
        <w:t>2</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E4B5580" w14:textId="461C894E" w:rsidR="008B27CB" w:rsidRDefault="008B27CB" w:rsidP="008B27CB">
      <w:pPr>
        <w:rPr>
          <w:rFonts w:ascii="Times New Roman" w:hAnsi="Times New Roman"/>
          <w:b/>
        </w:rPr>
      </w:pPr>
      <w:r>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7962E609" w14:textId="77777777" w:rsidR="008B27CB" w:rsidRDefault="008B27CB" w:rsidP="008B27CB">
      <w:pPr>
        <w:rPr>
          <w:rFonts w:ascii="Times New Roman" w:hAnsi="Times New Roman"/>
          <w:b/>
        </w:rPr>
      </w:pPr>
      <w:r>
        <w:rPr>
          <w:rFonts w:ascii="Times New Roman" w:hAnsi="Times New Roman"/>
          <w:b/>
        </w:rPr>
        <w:t>Proposal 4: Pre-configuration provides range of different transmission parameters such as MCS, DMRS pattern type etc. which UE can select autonomously based on scenario.</w:t>
      </w:r>
    </w:p>
    <w:p w14:paraId="70DF6B19" w14:textId="77777777" w:rsidR="008B27CB" w:rsidRPr="001278BF" w:rsidRDefault="008B27CB" w:rsidP="008B27CB">
      <w:pPr>
        <w:rPr>
          <w:rFonts w:ascii="Times New Roman" w:hAnsi="Times New Roman"/>
          <w:b/>
        </w:rPr>
      </w:pPr>
      <w:r>
        <w:rPr>
          <w:rFonts w:ascii="Times New Roman" w:hAnsi="Times New Roman"/>
          <w:b/>
        </w:rPr>
        <w:t>Proposal 5: Similar to LTE-V2X, NR-V2X supports mode-1 cross carrier scheduling. LTE V2X signalling (DCI, RRC, BSR) is considered as the baseline for NR-V2X.</w:t>
      </w:r>
    </w:p>
    <w:p w14:paraId="25EF9D66"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Reference</w:t>
      </w:r>
      <w:bookmarkEnd w:id="6"/>
      <w:bookmarkEnd w:id="7"/>
      <w:bookmarkEnd w:id="8"/>
      <w:r w:rsidRPr="00B93BAD">
        <w:rPr>
          <w:rFonts w:ascii="Times New Roman" w:hAnsi="Times New Roman" w:cs="Times New Roman"/>
        </w:rPr>
        <w:t>s</w:t>
      </w:r>
    </w:p>
    <w:p w14:paraId="724E3B14" w14:textId="141CC2BD" w:rsidR="007E7AEE" w:rsidRDefault="00054229">
      <w:pPr>
        <w:rPr>
          <w:rFonts w:ascii="Times New Roman" w:hAnsi="Times New Roman"/>
        </w:rPr>
      </w:pPr>
      <w:r w:rsidRPr="00B93BAD">
        <w:rPr>
          <w:rFonts w:ascii="Times New Roman" w:hAnsi="Times New Roman"/>
        </w:rPr>
        <w:t>[</w:t>
      </w:r>
      <w:r w:rsidR="00F452D4">
        <w:rPr>
          <w:rFonts w:ascii="Times New Roman" w:hAnsi="Times New Roman"/>
        </w:rPr>
        <w:t>1</w:t>
      </w:r>
      <w:r w:rsidRPr="00B93BAD">
        <w:rPr>
          <w:rFonts w:ascii="Times New Roman" w:hAnsi="Times New Roman"/>
        </w:rPr>
        <w:t>] 3GPP RAN1#9</w:t>
      </w:r>
      <w:r w:rsidR="00CC4EE4">
        <w:rPr>
          <w:rFonts w:ascii="Times New Roman" w:hAnsi="Times New Roman"/>
        </w:rPr>
        <w:t>6Bis</w:t>
      </w:r>
      <w:r w:rsidRPr="00B93BAD">
        <w:rPr>
          <w:rFonts w:ascii="Times New Roman" w:hAnsi="Times New Roman"/>
        </w:rPr>
        <w:t>, Chairman’s Notes</w:t>
      </w:r>
    </w:p>
    <w:p w14:paraId="2E67835C" w14:textId="16B33B4E" w:rsidR="00F452D4" w:rsidRDefault="00CC4EE4" w:rsidP="00F452D4">
      <w:pPr>
        <w:rPr>
          <w:rFonts w:ascii="Times New Roman" w:hAnsi="Times New Roman"/>
        </w:rPr>
      </w:pPr>
      <w:r>
        <w:rPr>
          <w:rFonts w:ascii="Times New Roman" w:hAnsi="Times New Roman"/>
        </w:rPr>
        <w:t>[</w:t>
      </w:r>
      <w:r w:rsidR="00EA301C">
        <w:rPr>
          <w:rFonts w:ascii="Times New Roman" w:hAnsi="Times New Roman"/>
        </w:rPr>
        <w:t>2</w:t>
      </w:r>
      <w:r>
        <w:rPr>
          <w:rFonts w:ascii="Times New Roman" w:hAnsi="Times New Roman"/>
        </w:rPr>
        <w:t>]</w:t>
      </w:r>
      <w:bookmarkStart w:id="9" w:name="_Hlk8929920"/>
      <w:r w:rsidR="009755C0" w:rsidRPr="009755C0">
        <w:rPr>
          <w:sz w:val="32"/>
          <w:szCs w:val="32"/>
          <w:lang w:val="en-US"/>
        </w:rPr>
        <w:t xml:space="preserve"> </w:t>
      </w:r>
      <w:r w:rsidR="009755C0" w:rsidRPr="009755C0">
        <w:rPr>
          <w:rFonts w:ascii="Times New Roman" w:hAnsi="Times New Roman"/>
        </w:rPr>
        <w:t>R1-</w:t>
      </w:r>
      <w:bookmarkEnd w:id="9"/>
      <w:r w:rsidR="009755C0" w:rsidRPr="009755C0">
        <w:rPr>
          <w:rFonts w:ascii="Times New Roman" w:hAnsi="Times New Roman"/>
        </w:rPr>
        <w:t>1907916</w:t>
      </w:r>
      <w:r w:rsidR="00F452D4" w:rsidRPr="00F452D4">
        <w:rPr>
          <w:rFonts w:ascii="Times New Roman" w:hAnsi="Times New Roman"/>
        </w:rPr>
        <w:t>, Feature lead summary #</w:t>
      </w:r>
      <w:r w:rsidR="009755C0">
        <w:rPr>
          <w:rFonts w:ascii="Times New Roman" w:hAnsi="Times New Roman"/>
        </w:rPr>
        <w:t>4</w:t>
      </w:r>
      <w:r w:rsidR="00F452D4" w:rsidRPr="00F452D4">
        <w:rPr>
          <w:rFonts w:ascii="Times New Roman" w:hAnsi="Times New Roman"/>
        </w:rPr>
        <w:t xml:space="preserve"> on Resource allocation for NR sidelink. Mode 1, Ericsson</w:t>
      </w:r>
    </w:p>
    <w:p w14:paraId="56D8967B" w14:textId="7630070A" w:rsidR="00D80695" w:rsidRDefault="00D80695" w:rsidP="00D80695">
      <w:pPr>
        <w:rPr>
          <w:rFonts w:ascii="Times New Roman" w:hAnsi="Times New Roman"/>
        </w:rPr>
      </w:pPr>
      <w:r w:rsidRPr="00B93BAD">
        <w:rPr>
          <w:rFonts w:ascii="Times New Roman" w:hAnsi="Times New Roman"/>
        </w:rPr>
        <w:t>[</w:t>
      </w:r>
      <w:r>
        <w:rPr>
          <w:rFonts w:ascii="Times New Roman" w:hAnsi="Times New Roman"/>
        </w:rPr>
        <w:t>3</w:t>
      </w:r>
      <w:r w:rsidRPr="00B93BAD">
        <w:rPr>
          <w:rFonts w:ascii="Times New Roman" w:hAnsi="Times New Roman"/>
        </w:rPr>
        <w:t>] 3GPP RAN1#9</w:t>
      </w:r>
      <w:r w:rsidR="00310009">
        <w:rPr>
          <w:rFonts w:ascii="Times New Roman" w:hAnsi="Times New Roman"/>
        </w:rPr>
        <w:t>7</w:t>
      </w:r>
      <w:r w:rsidRPr="00B93BAD">
        <w:rPr>
          <w:rFonts w:ascii="Times New Roman" w:hAnsi="Times New Roman"/>
        </w:rPr>
        <w:t>, Chairman’s Notes</w:t>
      </w:r>
    </w:p>
    <w:p w14:paraId="16C67739" w14:textId="77777777" w:rsidR="00D80695" w:rsidRPr="00F452D4" w:rsidRDefault="00D80695" w:rsidP="00F452D4">
      <w:pPr>
        <w:rPr>
          <w:rFonts w:ascii="Times New Roman" w:hAnsi="Times New Roman"/>
        </w:rPr>
      </w:pPr>
    </w:p>
    <w:p w14:paraId="5567C77A" w14:textId="77777777" w:rsidR="00CC4EE4" w:rsidRPr="00054229" w:rsidRDefault="00CC4EE4">
      <w:pPr>
        <w:rPr>
          <w:rFonts w:ascii="Times New Roman" w:hAnsi="Times New Roman"/>
        </w:rPr>
      </w:pPr>
    </w:p>
    <w:sectPr w:rsidR="00CC4EE4" w:rsidRPr="0005422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6A3FE" w14:textId="77777777" w:rsidR="00804520" w:rsidRDefault="00804520">
      <w:pPr>
        <w:spacing w:after="0"/>
      </w:pPr>
      <w:r>
        <w:separator/>
      </w:r>
    </w:p>
  </w:endnote>
  <w:endnote w:type="continuationSeparator" w:id="0">
    <w:p w14:paraId="2DEFAE1F" w14:textId="77777777" w:rsidR="00804520" w:rsidRDefault="00804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DC4E"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9E49" w14:textId="77777777" w:rsidR="00804520" w:rsidRDefault="00804520">
      <w:pPr>
        <w:spacing w:after="0"/>
      </w:pPr>
      <w:r>
        <w:separator/>
      </w:r>
    </w:p>
  </w:footnote>
  <w:footnote w:type="continuationSeparator" w:id="0">
    <w:p w14:paraId="555179E9" w14:textId="77777777" w:rsidR="00804520" w:rsidRDefault="008045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2E55"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9"/>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7"/>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0C6E20"/>
    <w:rsid w:val="001278BF"/>
    <w:rsid w:val="00133C3D"/>
    <w:rsid w:val="00134F4A"/>
    <w:rsid w:val="001A7439"/>
    <w:rsid w:val="002361F7"/>
    <w:rsid w:val="00310009"/>
    <w:rsid w:val="0035245C"/>
    <w:rsid w:val="00433B1A"/>
    <w:rsid w:val="00562544"/>
    <w:rsid w:val="00564D26"/>
    <w:rsid w:val="005A48EC"/>
    <w:rsid w:val="005B0462"/>
    <w:rsid w:val="00697200"/>
    <w:rsid w:val="00716C84"/>
    <w:rsid w:val="0074783B"/>
    <w:rsid w:val="007E7AEE"/>
    <w:rsid w:val="00804520"/>
    <w:rsid w:val="008B27CB"/>
    <w:rsid w:val="008C47AA"/>
    <w:rsid w:val="008F10FD"/>
    <w:rsid w:val="00971BB8"/>
    <w:rsid w:val="009755C0"/>
    <w:rsid w:val="00A25753"/>
    <w:rsid w:val="00AC6097"/>
    <w:rsid w:val="00B432B1"/>
    <w:rsid w:val="00BD1880"/>
    <w:rsid w:val="00C54289"/>
    <w:rsid w:val="00C678E4"/>
    <w:rsid w:val="00CC4EE4"/>
    <w:rsid w:val="00CD568A"/>
    <w:rsid w:val="00D80695"/>
    <w:rsid w:val="00D907FD"/>
    <w:rsid w:val="00D910F7"/>
    <w:rsid w:val="00E417C5"/>
    <w:rsid w:val="00E9631A"/>
    <w:rsid w:val="00EA301C"/>
    <w:rsid w:val="00F452D4"/>
    <w:rsid w:val="00F7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9B4927"/>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character" w:styleId="Hyperlink">
    <w:name w:val="Hyperlink"/>
    <w:uiPriority w:val="99"/>
    <w:rsid w:val="00F452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4334">
      <w:bodyDiv w:val="1"/>
      <w:marLeft w:val="0"/>
      <w:marRight w:val="0"/>
      <w:marTop w:val="0"/>
      <w:marBottom w:val="0"/>
      <w:divBdr>
        <w:top w:val="none" w:sz="0" w:space="0" w:color="auto"/>
        <w:left w:val="none" w:sz="0" w:space="0" w:color="auto"/>
        <w:bottom w:val="none" w:sz="0" w:space="0" w:color="auto"/>
        <w:right w:val="none" w:sz="0" w:space="0" w:color="auto"/>
      </w:divBdr>
    </w:div>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 w:id="1307706129">
      <w:bodyDiv w:val="1"/>
      <w:marLeft w:val="0"/>
      <w:marRight w:val="0"/>
      <w:marTop w:val="0"/>
      <w:marBottom w:val="0"/>
      <w:divBdr>
        <w:top w:val="none" w:sz="0" w:space="0" w:color="auto"/>
        <w:left w:val="none" w:sz="0" w:space="0" w:color="auto"/>
        <w:bottom w:val="none" w:sz="0" w:space="0" w:color="auto"/>
        <w:right w:val="none" w:sz="0" w:space="0" w:color="auto"/>
      </w:divBdr>
    </w:div>
    <w:div w:id="1357848366">
      <w:bodyDiv w:val="1"/>
      <w:marLeft w:val="0"/>
      <w:marRight w:val="0"/>
      <w:marTop w:val="0"/>
      <w:marBottom w:val="0"/>
      <w:divBdr>
        <w:top w:val="none" w:sz="0" w:space="0" w:color="auto"/>
        <w:left w:val="none" w:sz="0" w:space="0" w:color="auto"/>
        <w:bottom w:val="none" w:sz="0" w:space="0" w:color="auto"/>
        <w:right w:val="none" w:sz="0" w:space="0" w:color="auto"/>
      </w:divBdr>
    </w:div>
    <w:div w:id="14045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sers/sudhirb/R1-1907889.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SRVZ567275SS-924214940-53</_dlc_DocId>
    <_dlc_DocIdUrl xmlns="932dab1a-f806-440a-b546-5f112cb4e652">
      <Url>https://projects.qualcomm.com/sites/libra/_layouts/15/DocIdRedir.aspx?ID=SRVZ567275SS-924214940-53</Url>
      <Description>SRVZ567275SS-924214940-53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63B9B-11AA-4CD1-AC9A-941AEF1CFC5F}">
  <ds:schemaRefs>
    <ds:schemaRef ds:uri="http://schemas.microsoft.com/office/2006/metadata/properties"/>
    <ds:schemaRef ds:uri="http://schemas.microsoft.com/office/2006/documentManagement/types"/>
    <ds:schemaRef ds:uri="http://purl.org/dc/terms/"/>
    <ds:schemaRef ds:uri="932dab1a-f806-440a-b546-5f112cb4e652"/>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70E7823-6836-4700-B4CB-8752D9924E12}">
  <ds:schemaRefs>
    <ds:schemaRef ds:uri="http://schemas.microsoft.com/sharepoint/v3/contenttype/forms"/>
  </ds:schemaRefs>
</ds:datastoreItem>
</file>

<file path=customXml/itemProps3.xml><?xml version="1.0" encoding="utf-8"?>
<ds:datastoreItem xmlns:ds="http://schemas.openxmlformats.org/officeDocument/2006/customXml" ds:itemID="{06FF978A-9582-4C68-B344-06C960D0A912}">
  <ds:schemaRefs>
    <ds:schemaRef ds:uri="http://schemas.microsoft.com/sharepoint/events"/>
  </ds:schemaRefs>
</ds:datastoreItem>
</file>

<file path=customXml/itemProps4.xml><?xml version="1.0" encoding="utf-8"?>
<ds:datastoreItem xmlns:ds="http://schemas.openxmlformats.org/officeDocument/2006/customXml" ds:itemID="{A3EF7F06-B0C3-4DA6-87DB-52302B4CC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Mode 1 Resource allocation for NR-V2X</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 1 Resource allocation for NR-V2X</dc:title>
  <dc:subject/>
  <dc:creator>Arjun Bharadwaj</dc:creator>
  <cp:keywords/>
  <dc:description/>
  <cp:lastModifiedBy>Sudhir Baghel</cp:lastModifiedBy>
  <cp:revision>8</cp:revision>
  <dcterms:created xsi:type="dcterms:W3CDTF">2019-08-13T09:36:00Z</dcterms:created>
  <dcterms:modified xsi:type="dcterms:W3CDTF">2019-08-16T07:36:00Z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a408c99b-5894-44b9-a157-c6d78a8f417d</vt:lpwstr>
  </property>
</Properties>
</file>